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CD7" w:rsidRPr="00FD1ECC" w:rsidRDefault="00AD2CD7" w:rsidP="00AD2CD7">
      <w:pPr>
        <w:spacing w:before="120" w:after="0" w:line="240" w:lineRule="auto"/>
        <w:jc w:val="center"/>
        <w:rPr>
          <w:rFonts w:ascii="Calibri" w:hAnsi="Calibri" w:cs="Calibri"/>
          <w:color w:val="FF0000"/>
          <w:sz w:val="28"/>
          <w:szCs w:val="28"/>
        </w:rPr>
      </w:pPr>
      <w:r w:rsidRPr="00FD1ECC">
        <w:rPr>
          <w:rFonts w:ascii="Calibri" w:hAnsi="Calibri" w:cs="Calibri"/>
          <w:color w:val="FF0000"/>
          <w:sz w:val="28"/>
          <w:szCs w:val="28"/>
          <w:rtl/>
        </w:rPr>
        <w:t>بِسْمِ اللّٰهِ الرَّحْمٰنِ الرَّحِيمِ</w:t>
      </w:r>
    </w:p>
    <w:p w:rsidR="00AD2CD7" w:rsidRPr="00FD1ECC" w:rsidRDefault="00AD2CD7" w:rsidP="00AD2CD7">
      <w:pPr>
        <w:spacing w:before="120" w:after="0" w:line="240" w:lineRule="auto"/>
        <w:jc w:val="center"/>
        <w:rPr>
          <w:rFonts w:ascii="Calibri" w:hAnsi="Calibri" w:cs="Calibri"/>
          <w:color w:val="FF0000"/>
          <w:sz w:val="28"/>
          <w:szCs w:val="28"/>
        </w:rPr>
      </w:pPr>
      <w:r w:rsidRPr="00FD1ECC">
        <w:rPr>
          <w:rFonts w:ascii="Calibri" w:hAnsi="Calibri" w:cs="Calibri"/>
          <w:color w:val="FF0000"/>
          <w:sz w:val="28"/>
          <w:szCs w:val="28"/>
          <w:rtl/>
        </w:rPr>
        <w:t>وَ بِهِ نَسْتَعِينُ</w:t>
      </w:r>
    </w:p>
    <w:p w:rsidR="00AD2CD7" w:rsidRDefault="00AD2CD7" w:rsidP="00AD2CD7">
      <w:pPr>
        <w:spacing w:before="120" w:after="0" w:line="240" w:lineRule="auto"/>
        <w:jc w:val="center"/>
        <w:rPr>
          <w:rFonts w:ascii="Calibri" w:hAnsi="Calibri" w:cs="Calibri"/>
          <w:color w:val="0000B0"/>
          <w:sz w:val="28"/>
          <w:szCs w:val="28"/>
        </w:rPr>
      </w:pPr>
      <w:r>
        <w:rPr>
          <w:rFonts w:ascii="Calibri" w:hAnsi="Calibri" w:cs="Calibri"/>
          <w:color w:val="0000B0"/>
          <w:sz w:val="28"/>
          <w:szCs w:val="28"/>
        </w:rPr>
        <w:t>MESNEVİ-İ NURİYE</w:t>
      </w:r>
      <w:r w:rsidRPr="00FD1ECC">
        <w:rPr>
          <w:rFonts w:ascii="Calibri" w:hAnsi="Calibri" w:cs="Calibri"/>
          <w:color w:val="0000B0"/>
          <w:sz w:val="28"/>
          <w:szCs w:val="28"/>
        </w:rPr>
        <w:t xml:space="preserve"> </w:t>
      </w:r>
      <w:r>
        <w:rPr>
          <w:rFonts w:ascii="Calibri" w:hAnsi="Calibri" w:cs="Calibri"/>
          <w:color w:val="0000B0"/>
          <w:sz w:val="28"/>
          <w:szCs w:val="28"/>
        </w:rPr>
        <w:t>238. SAYFANIN</w:t>
      </w:r>
      <w:r w:rsidRPr="00FD1ECC">
        <w:rPr>
          <w:rFonts w:ascii="Calibri" w:hAnsi="Calibri" w:cs="Calibri"/>
          <w:color w:val="0000B0"/>
          <w:sz w:val="28"/>
          <w:szCs w:val="28"/>
        </w:rPr>
        <w:t xml:space="preserve"> TAHŞİYESİ </w:t>
      </w:r>
      <w:r>
        <w:rPr>
          <w:rFonts w:ascii="Calibri" w:hAnsi="Calibri" w:cs="Calibri"/>
          <w:color w:val="0000B0"/>
          <w:sz w:val="28"/>
          <w:szCs w:val="28"/>
        </w:rPr>
        <w:t>–</w:t>
      </w:r>
      <w:r w:rsidRPr="00FD1ECC">
        <w:rPr>
          <w:rFonts w:ascii="Calibri" w:hAnsi="Calibri" w:cs="Calibri"/>
          <w:color w:val="0000B0"/>
          <w:sz w:val="28"/>
          <w:szCs w:val="28"/>
        </w:rPr>
        <w:t xml:space="preserve"> </w:t>
      </w:r>
      <w:r w:rsidRPr="00AD2CD7">
        <w:rPr>
          <w:rFonts w:ascii="Calibri" w:hAnsi="Calibri" w:cs="Calibri"/>
          <w:color w:val="0000B0"/>
          <w:sz w:val="28"/>
          <w:szCs w:val="28"/>
        </w:rPr>
        <w:t>MADDÎ VE MANEVÎ ŞAHSÎ MENFAATLERDEN UZAK DURMAK</w:t>
      </w:r>
      <w:r w:rsidR="00F262A6">
        <w:rPr>
          <w:rStyle w:val="FootnoteReference"/>
          <w:rFonts w:ascii="Calibri" w:hAnsi="Calibri" w:cs="Calibri"/>
          <w:color w:val="0000B0"/>
          <w:sz w:val="28"/>
          <w:szCs w:val="28"/>
        </w:rPr>
        <w:footnoteReference w:id="2"/>
      </w:r>
    </w:p>
    <w:p w:rsidR="00AD2CD7" w:rsidRDefault="00AD2CD7" w:rsidP="00FE77A4">
      <w:pPr>
        <w:spacing w:before="120" w:after="0" w:line="240" w:lineRule="auto"/>
        <w:jc w:val="both"/>
        <w:rPr>
          <w:rFonts w:ascii="Calibri" w:hAnsi="Calibri" w:cs="Calibri"/>
          <w:sz w:val="24"/>
          <w:szCs w:val="24"/>
        </w:rPr>
      </w:pPr>
      <w:r w:rsidRPr="00AD2CD7">
        <w:rPr>
          <w:rFonts w:ascii="Calibri" w:hAnsi="Calibri" w:cs="Calibri"/>
          <w:sz w:val="24"/>
          <w:szCs w:val="24"/>
        </w:rPr>
        <w:t>İ'lem Eyyühel-Aziz! İnsan nisyandan alındığı için, nisyana mübteladır. Nisyanın en kötüsü de nefsin unutulmasıdır. Fakat hizmet, sa'y, tefekkür zamanlarında nefsin unutulması, yani nefse bir iş verilmemesi dalalettir. Hizmetler görüldükten sonra neticede, mükâfat zamanlarında nefsin unutulması kemaldir. Bu itibarla ehl-i dalal ile ehl-i kemal, nisyan ve tezekkürde müteakistirler. Evet dâll olan kimse, bir iş ve bir ibadet teklifinde başını havaya kaldırarak firavunlaşır. Lâkin mükâfatın, menfaatın tevziinde bir zerreyi bile terketmez.</w:t>
      </w:r>
      <w:r w:rsidR="00FE77A4" w:rsidRPr="00FE77A4">
        <w:rPr>
          <w:rStyle w:val="FootnoteReference"/>
          <w:rFonts w:ascii="Calibri" w:hAnsi="Calibri" w:cs="Calibri"/>
          <w:sz w:val="24"/>
          <w:szCs w:val="24"/>
        </w:rPr>
        <w:t xml:space="preserve"> </w:t>
      </w:r>
      <w:r w:rsidR="00FE77A4">
        <w:rPr>
          <w:rStyle w:val="FootnoteReference"/>
          <w:rFonts w:ascii="Calibri" w:hAnsi="Calibri" w:cs="Calibri"/>
          <w:sz w:val="24"/>
          <w:szCs w:val="24"/>
        </w:rPr>
        <w:footnoteReference w:id="3"/>
      </w:r>
      <w:r w:rsidRPr="00AD2CD7">
        <w:rPr>
          <w:rFonts w:ascii="Calibri" w:hAnsi="Calibri" w:cs="Calibri"/>
          <w:sz w:val="24"/>
          <w:szCs w:val="24"/>
        </w:rPr>
        <w:t xml:space="preserve"> Amma nefsini </w:t>
      </w:r>
      <w:r w:rsidRPr="00AD2CD7">
        <w:rPr>
          <w:rFonts w:ascii="Calibri" w:hAnsi="Calibri" w:cs="Calibri"/>
          <w:sz w:val="24"/>
          <w:szCs w:val="24"/>
        </w:rPr>
        <w:lastRenderedPageBreak/>
        <w:t>unutan ehl-i kemal sa'y, tefekkür, sülûk</w:t>
      </w:r>
      <w:r>
        <w:rPr>
          <w:rFonts w:ascii="Calibri" w:hAnsi="Calibri" w:cs="Calibri"/>
          <w:sz w:val="24"/>
          <w:szCs w:val="24"/>
        </w:rPr>
        <w:t xml:space="preserve"> </w:t>
      </w:r>
      <w:r w:rsidRPr="00AD2CD7">
        <w:rPr>
          <w:rFonts w:ascii="Calibri" w:hAnsi="Calibri" w:cs="Calibri"/>
          <w:sz w:val="24"/>
          <w:szCs w:val="24"/>
        </w:rPr>
        <w:t>zamanlarında herşeyden evvel nefsini ileri sürüyor; fakat neticelerde, faidelerde, menfaatlerde nefsini unutmakla en geriye bırakıyor.</w:t>
      </w:r>
      <w:r w:rsidR="00FE77A4">
        <w:rPr>
          <w:rStyle w:val="FootnoteReference"/>
          <w:rFonts w:ascii="Calibri" w:hAnsi="Calibri" w:cs="Calibri"/>
          <w:sz w:val="24"/>
          <w:szCs w:val="24"/>
        </w:rPr>
        <w:footnoteReference w:id="4"/>
      </w:r>
    </w:p>
    <w:p w:rsidR="00AD2CD7" w:rsidRDefault="00AD2CD7" w:rsidP="00AD2CD7">
      <w:pPr>
        <w:spacing w:before="120" w:after="0" w:line="240" w:lineRule="auto"/>
        <w:jc w:val="both"/>
        <w:rPr>
          <w:rFonts w:ascii="Calibri" w:hAnsi="Calibri" w:cs="Calibri"/>
          <w:sz w:val="24"/>
          <w:szCs w:val="24"/>
        </w:rPr>
      </w:pPr>
    </w:p>
    <w:sectPr w:rsidR="00AD2CD7" w:rsidSect="0069323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073C" w:rsidRDefault="0049073C" w:rsidP="00AD2CD7">
      <w:pPr>
        <w:spacing w:after="0" w:line="240" w:lineRule="auto"/>
      </w:pPr>
      <w:r>
        <w:separator/>
      </w:r>
    </w:p>
  </w:endnote>
  <w:endnote w:type="continuationSeparator" w:id="1">
    <w:p w:rsidR="0049073C" w:rsidRDefault="0049073C" w:rsidP="00AD2C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073C" w:rsidRDefault="0049073C" w:rsidP="00AD2CD7">
      <w:pPr>
        <w:spacing w:after="0" w:line="240" w:lineRule="auto"/>
      </w:pPr>
      <w:r>
        <w:separator/>
      </w:r>
    </w:p>
  </w:footnote>
  <w:footnote w:type="continuationSeparator" w:id="1">
    <w:p w:rsidR="0049073C" w:rsidRDefault="0049073C" w:rsidP="00AD2CD7">
      <w:pPr>
        <w:spacing w:after="0" w:line="240" w:lineRule="auto"/>
      </w:pPr>
      <w:r>
        <w:continuationSeparator/>
      </w:r>
    </w:p>
  </w:footnote>
  <w:footnote w:id="2">
    <w:p w:rsidR="00F262A6" w:rsidRDefault="00F262A6" w:rsidP="00FE77A4">
      <w:pPr>
        <w:spacing w:before="120" w:after="0" w:line="240" w:lineRule="auto"/>
        <w:jc w:val="both"/>
      </w:pPr>
      <w:r w:rsidRPr="00F262A6">
        <w:rPr>
          <w:rStyle w:val="FootnoteReference"/>
          <w:sz w:val="24"/>
          <w:szCs w:val="24"/>
        </w:rPr>
        <w:footnoteRef/>
      </w:r>
      <w:r w:rsidRPr="00F262A6">
        <w:rPr>
          <w:sz w:val="24"/>
          <w:szCs w:val="24"/>
        </w:rPr>
        <w:t xml:space="preserve"> </w:t>
      </w:r>
      <w:r w:rsidRPr="00F262A6">
        <w:rPr>
          <w:b/>
          <w:bCs/>
          <w:sz w:val="24"/>
          <w:szCs w:val="24"/>
        </w:rPr>
        <w:t>Ayrıca</w:t>
      </w:r>
      <w:r w:rsidRPr="00F262A6">
        <w:rPr>
          <w:sz w:val="24"/>
          <w:szCs w:val="24"/>
        </w:rPr>
        <w:t xml:space="preserve"> </w:t>
      </w:r>
      <w:r w:rsidRPr="00F262A6">
        <w:rPr>
          <w:i/>
          <w:iCs/>
          <w:sz w:val="24"/>
          <w:szCs w:val="24"/>
        </w:rPr>
        <w:t xml:space="preserve">(Bakınız: </w:t>
      </w:r>
      <w:r w:rsidRPr="00F262A6">
        <w:rPr>
          <w:rFonts w:ascii="Calibri" w:hAnsi="Calibri" w:cs="Calibri"/>
          <w:i/>
          <w:iCs/>
          <w:sz w:val="24"/>
          <w:szCs w:val="24"/>
          <w:highlight w:val="yellow"/>
        </w:rPr>
        <w:t>Şahsî Kemalâta Değil, Hizmete Bakmak</w:t>
      </w:r>
      <w:r w:rsidRPr="00F262A6">
        <w:rPr>
          <w:rFonts w:ascii="Calibri" w:hAnsi="Calibri" w:cs="Calibri"/>
          <w:i/>
          <w:iCs/>
          <w:sz w:val="24"/>
          <w:szCs w:val="24"/>
        </w:rPr>
        <w:t xml:space="preserve"> Derlemesi)</w:t>
      </w:r>
    </w:p>
  </w:footnote>
  <w:footnote w:id="3">
    <w:p w:rsidR="00FE77A4" w:rsidRPr="00AD2CD7" w:rsidRDefault="00FE77A4" w:rsidP="00FE77A4">
      <w:pPr>
        <w:spacing w:before="120" w:after="0" w:line="240" w:lineRule="auto"/>
        <w:jc w:val="both"/>
        <w:rPr>
          <w:rFonts w:ascii="Calibri" w:hAnsi="Calibri" w:cs="Calibri"/>
          <w:sz w:val="24"/>
          <w:szCs w:val="24"/>
        </w:rPr>
      </w:pPr>
      <w:r>
        <w:rPr>
          <w:rStyle w:val="FootnoteReference"/>
        </w:rPr>
        <w:footnoteRef/>
      </w:r>
      <w:r>
        <w:t xml:space="preserve"> </w:t>
      </w:r>
      <w:r>
        <w:rPr>
          <w:rFonts w:ascii="Calibri" w:hAnsi="Calibri" w:cs="Calibri"/>
          <w:sz w:val="24"/>
          <w:szCs w:val="24"/>
        </w:rPr>
        <w:t>“</w:t>
      </w:r>
      <w:r w:rsidRPr="00AD2CD7">
        <w:rPr>
          <w:rFonts w:ascii="Calibri" w:hAnsi="Calibri" w:cs="Calibri"/>
          <w:sz w:val="24"/>
          <w:szCs w:val="24"/>
        </w:rPr>
        <w:t>Bazılarımızdaki dikkatsizlikten ve ecnebilerin zararlı seciyelerini almamızdan, kuvvetli ve kudsî İslâmî milliyetimizle beraber herkes "nefsî! nefsî" demekle ve milletin menfaatini düşünmemekle -menfaat-ı şahsiyesini düşünmekle- bin adam, bir adam hükmüne sukut eder.</w:t>
      </w:r>
    </w:p>
    <w:p w:rsidR="00FE77A4" w:rsidRPr="00AD2CD7" w:rsidRDefault="00FE77A4" w:rsidP="00FE77A4">
      <w:pPr>
        <w:spacing w:before="120" w:after="0" w:line="240" w:lineRule="auto"/>
        <w:jc w:val="center"/>
        <w:rPr>
          <w:rFonts w:ascii="Calibri" w:hAnsi="Calibri" w:cs="Calibri"/>
          <w:color w:val="FF0000"/>
          <w:sz w:val="28"/>
          <w:szCs w:val="28"/>
        </w:rPr>
      </w:pPr>
      <w:r w:rsidRPr="00AD2CD7">
        <w:rPr>
          <w:rFonts w:ascii="Calibri" w:hAnsi="Calibri" w:cs="Calibri"/>
          <w:color w:val="FF0000"/>
          <w:sz w:val="28"/>
          <w:szCs w:val="28"/>
          <w:rtl/>
        </w:rPr>
        <w:t>مَنْ كَانَ هِمَّتُهُ نَفْسُهُ فَلَيْسَ مِنَ اْلاِنْسَانِ ِلاَنَّهُ مَدَنِىٌّ بِالطَّبْعِ</w:t>
      </w:r>
    </w:p>
    <w:p w:rsidR="00FE77A4" w:rsidRDefault="00FE77A4" w:rsidP="00FE77A4">
      <w:pPr>
        <w:spacing w:before="120" w:after="0" w:line="240" w:lineRule="auto"/>
        <w:jc w:val="both"/>
        <w:rPr>
          <w:rFonts w:ascii="Calibri" w:hAnsi="Calibri" w:cs="Calibri"/>
          <w:b/>
          <w:bCs/>
          <w:sz w:val="24"/>
          <w:szCs w:val="24"/>
        </w:rPr>
      </w:pPr>
      <w:r w:rsidRPr="00AD2CD7">
        <w:rPr>
          <w:rFonts w:ascii="Calibri" w:hAnsi="Calibri" w:cs="Calibri"/>
          <w:sz w:val="24"/>
          <w:szCs w:val="24"/>
        </w:rPr>
        <w:t>Yani: Kimin himmeti yalnız nefsi ise, o insan değil. Çünki insanın fıtratı medenîdir. Ebna-i cinsini mülahazaya mecburdur. Hayat-ı içtimaiye ile hayat-ı şahsiyesi devam edebilir. Meselâ: Bir ekmeği yese kaç ellere muhtaç ve ona mukabil o elleri manen öptüğünü ve giydiği libasla kaç fabrikayla alâkadar olduğunu kıyas ediniz. Hayvan gibi bir postla yaşıyamadığından ebna-i cinsiyle fıtraten alâkadar olduğundan ve onlara manevî bir fiat vermeğe mecbur bulunduğundan fıtratıyla medeniyetperverdir. Menfaat-ı şahsiyesine hasr-ı nazar eden, insanlıktan çıkar, masum olmayan câni bir hayvan olur. Birşey elinden gelmese, hakikî özrü olsa o müstesna!.</w:t>
      </w:r>
      <w:r>
        <w:rPr>
          <w:rFonts w:ascii="Calibri" w:hAnsi="Calibri" w:cs="Calibri"/>
          <w:sz w:val="24"/>
          <w:szCs w:val="24"/>
        </w:rPr>
        <w:t xml:space="preserve">” </w:t>
      </w:r>
      <w:r w:rsidRPr="00AD2CD7">
        <w:rPr>
          <w:rFonts w:ascii="Calibri" w:hAnsi="Calibri" w:cs="Calibri"/>
          <w:b/>
          <w:bCs/>
          <w:sz w:val="24"/>
          <w:szCs w:val="24"/>
        </w:rPr>
        <w:t>Hutbe-i Şamiye (59 - 60</w:t>
      </w:r>
      <w:r w:rsidRPr="00AD2CD7">
        <w:rPr>
          <w:rFonts w:ascii="Calibri" w:hAnsi="Calibri" w:cs="Calibri"/>
          <w:b/>
          <w:bCs/>
          <w:sz w:val="24"/>
          <w:szCs w:val="24"/>
        </w:rPr>
        <w:t>)</w:t>
      </w:r>
    </w:p>
    <w:p w:rsidR="00FE77A4" w:rsidRPr="00FD07A6" w:rsidRDefault="00FE77A4" w:rsidP="00FE77A4">
      <w:pPr>
        <w:spacing w:before="120" w:after="0" w:line="240" w:lineRule="auto"/>
        <w:jc w:val="both"/>
        <w:rPr>
          <w:rFonts w:ascii="Calibri" w:hAnsi="Calibri" w:cs="Calibri"/>
          <w:sz w:val="24"/>
          <w:szCs w:val="24"/>
        </w:rPr>
      </w:pPr>
      <w:r w:rsidRPr="00FD07A6">
        <w:rPr>
          <w:rFonts w:ascii="Calibri" w:hAnsi="Calibri" w:cs="Calibri"/>
          <w:sz w:val="24"/>
          <w:szCs w:val="24"/>
        </w:rPr>
        <w:t>“</w:t>
      </w:r>
      <w:r w:rsidRPr="00AC1751">
        <w:rPr>
          <w:rFonts w:ascii="Calibri" w:hAnsi="Calibri" w:cs="Calibri"/>
          <w:b/>
          <w:bCs/>
          <w:sz w:val="24"/>
          <w:szCs w:val="24"/>
        </w:rPr>
        <w:t>Bu acib asırda dehşetli bir aşılamak ve şırınga ile</w:t>
      </w:r>
      <w:r w:rsidRPr="00FD07A6">
        <w:rPr>
          <w:rFonts w:ascii="Calibri" w:hAnsi="Calibri" w:cs="Calibri"/>
          <w:sz w:val="24"/>
          <w:szCs w:val="24"/>
        </w:rPr>
        <w:t xml:space="preserve"> hem hakikî, hem mecazî iki nefs-i emmare ittifak edip; öyle seyyiata öyle günahlara</w:t>
      </w:r>
      <w:r>
        <w:rPr>
          <w:rFonts w:ascii="Calibri" w:hAnsi="Calibri" w:cs="Calibri"/>
          <w:sz w:val="24"/>
          <w:szCs w:val="24"/>
        </w:rPr>
        <w:t xml:space="preserve"> </w:t>
      </w:r>
      <w:r w:rsidRPr="00FD07A6">
        <w:rPr>
          <w:rFonts w:ascii="Calibri" w:hAnsi="Calibri" w:cs="Calibri"/>
          <w:sz w:val="24"/>
          <w:szCs w:val="24"/>
        </w:rPr>
        <w:t xml:space="preserve">severek giriyor, kâinatı hiddete getiriyor. Hattâ kendim, bir dakika zarfında yirmi paralık bir sıkıntı ile, altmış liralık bir haseneye tercih etmeye çalıştım. Hem on dakika zarfında, büyük bir mücahede-i manevîde, benim cephemde kırkikilik bir top gibi düşmanlarıma atıp yol açtığı halde; o iki nefs-i emmarenin muvakkat bir gaflet fırsatında, hodgâmlık ve meyl-i tefevvuk gibi gayet zulümlü ve zulümatlı hissiyle, büyük bir şükür ve teşekkür yerine, "Ne için ben atmadım" diye en çirkin bir </w:t>
      </w:r>
      <w:r w:rsidRPr="00AC1751">
        <w:rPr>
          <w:rFonts w:ascii="Calibri" w:hAnsi="Calibri" w:cs="Calibri"/>
          <w:b/>
          <w:bCs/>
          <w:sz w:val="24"/>
          <w:szCs w:val="24"/>
        </w:rPr>
        <w:t>riya ve rekabet damarını</w:t>
      </w:r>
      <w:r w:rsidRPr="00FD07A6">
        <w:rPr>
          <w:rFonts w:ascii="Calibri" w:hAnsi="Calibri" w:cs="Calibri"/>
          <w:sz w:val="24"/>
          <w:szCs w:val="24"/>
        </w:rPr>
        <w:t xml:space="preserve"> hissettim.</w:t>
      </w:r>
    </w:p>
    <w:p w:rsidR="00FE77A4" w:rsidRDefault="00FE77A4" w:rsidP="00FE77A4">
      <w:pPr>
        <w:spacing w:before="120" w:after="0" w:line="240" w:lineRule="auto"/>
        <w:jc w:val="both"/>
        <w:rPr>
          <w:rFonts w:ascii="Calibri" w:hAnsi="Calibri" w:cs="Calibri"/>
          <w:b/>
          <w:bCs/>
          <w:sz w:val="24"/>
          <w:szCs w:val="24"/>
        </w:rPr>
      </w:pPr>
      <w:r w:rsidRPr="00AC1751">
        <w:rPr>
          <w:rFonts w:ascii="Calibri" w:hAnsi="Calibri" w:cs="Calibri"/>
          <w:b/>
          <w:bCs/>
          <w:sz w:val="24"/>
          <w:szCs w:val="24"/>
        </w:rPr>
        <w:t>Cenab-ı Hakk'a yüzbin şükür ediyorum ki, Risale-i Nur ve bilhâssa İhlas Risaleleri o iki nefsin bütün desaisini izale ve onların açtığı yaraları tedavi ettiği gibi, o bir dakika ve on dakikadaki haletleri birden izale etti. Ve manevî bir istiğfar olan kusurumu bildim. O hatanın muaccel cezası olan içindeki elemden ve azabdan kurtuldum.</w:t>
      </w:r>
      <w:r>
        <w:rPr>
          <w:rFonts w:ascii="Calibri" w:hAnsi="Calibri" w:cs="Calibri"/>
          <w:b/>
          <w:bCs/>
          <w:sz w:val="24"/>
          <w:szCs w:val="24"/>
        </w:rPr>
        <w:t>”</w:t>
      </w:r>
      <w:r w:rsidRPr="00FD07A6">
        <w:rPr>
          <w:rFonts w:ascii="Calibri" w:hAnsi="Calibri" w:cs="Calibri"/>
          <w:b/>
          <w:bCs/>
          <w:sz w:val="24"/>
          <w:szCs w:val="24"/>
        </w:rPr>
        <w:t xml:space="preserve"> </w:t>
      </w:r>
      <w:r w:rsidRPr="00FD07A6">
        <w:rPr>
          <w:rFonts w:ascii="Calibri" w:hAnsi="Calibri" w:cs="Calibri"/>
          <w:b/>
          <w:bCs/>
          <w:sz w:val="24"/>
          <w:szCs w:val="24"/>
        </w:rPr>
        <w:t>Kastamonu Lahik</w:t>
      </w:r>
      <w:r>
        <w:rPr>
          <w:rFonts w:ascii="Calibri" w:hAnsi="Calibri" w:cs="Calibri"/>
          <w:b/>
          <w:bCs/>
          <w:sz w:val="24"/>
          <w:szCs w:val="24"/>
        </w:rPr>
        <w:t>ası (233</w:t>
      </w:r>
      <w:r w:rsidRPr="00FD07A6">
        <w:rPr>
          <w:rFonts w:ascii="Calibri" w:hAnsi="Calibri" w:cs="Calibri"/>
          <w:b/>
          <w:bCs/>
          <w:sz w:val="24"/>
          <w:szCs w:val="24"/>
        </w:rPr>
        <w:t>)</w:t>
      </w:r>
    </w:p>
    <w:p w:rsidR="00FE77A4" w:rsidRDefault="00FE77A4" w:rsidP="00FE77A4">
      <w:pPr>
        <w:spacing w:before="120" w:after="0" w:line="240" w:lineRule="auto"/>
        <w:jc w:val="both"/>
        <w:rPr>
          <w:rFonts w:ascii="Calibri" w:hAnsi="Calibri" w:cs="Calibri"/>
          <w:b/>
          <w:bCs/>
          <w:sz w:val="24"/>
          <w:szCs w:val="24"/>
        </w:rPr>
      </w:pPr>
      <w:r w:rsidRPr="00AC1751">
        <w:rPr>
          <w:rFonts w:ascii="Calibri" w:hAnsi="Calibri" w:cs="Calibri"/>
          <w:sz w:val="24"/>
          <w:szCs w:val="24"/>
        </w:rPr>
        <w:t>“</w:t>
      </w:r>
      <w:r w:rsidRPr="00AC1751">
        <w:rPr>
          <w:rFonts w:ascii="Calibri" w:hAnsi="Calibri" w:cs="Calibri"/>
          <w:sz w:val="24"/>
          <w:szCs w:val="24"/>
        </w:rPr>
        <w:t>Evet ene ve enaniyetin eşkâl-i habisesi olan hodgâmlık, hodbinlik, hodendişlik, gurur ve inad, o meyle inzimam etse, öyle ekber-ül kebairi icad eder ki, daha beşer ona isim bulmamış. Cehennem'in lüzumuna delil olduğu gibi, cezası da yalnız Cehennem olabilir.</w:t>
      </w:r>
      <w:r>
        <w:rPr>
          <w:rFonts w:ascii="Calibri" w:hAnsi="Calibri" w:cs="Calibri"/>
          <w:sz w:val="24"/>
          <w:szCs w:val="24"/>
        </w:rPr>
        <w:t xml:space="preserve">” </w:t>
      </w:r>
      <w:r>
        <w:rPr>
          <w:rFonts w:ascii="Calibri" w:hAnsi="Calibri" w:cs="Calibri"/>
          <w:b/>
          <w:bCs/>
          <w:sz w:val="24"/>
          <w:szCs w:val="24"/>
        </w:rPr>
        <w:t>Sünuhat-Tuluat-İşarat (27</w:t>
      </w:r>
      <w:r w:rsidRPr="00AC1751">
        <w:rPr>
          <w:rFonts w:ascii="Calibri" w:hAnsi="Calibri" w:cs="Calibri"/>
          <w:b/>
          <w:bCs/>
          <w:sz w:val="24"/>
          <w:szCs w:val="24"/>
        </w:rPr>
        <w:t>)</w:t>
      </w:r>
    </w:p>
    <w:p w:rsidR="00FE77A4" w:rsidRPr="00AD2CD7" w:rsidRDefault="00FE77A4" w:rsidP="00FE77A4">
      <w:pPr>
        <w:spacing w:before="120" w:after="0" w:line="240" w:lineRule="auto"/>
        <w:jc w:val="both"/>
        <w:rPr>
          <w:rFonts w:ascii="Calibri" w:hAnsi="Calibri" w:cs="Calibri"/>
          <w:sz w:val="24"/>
          <w:szCs w:val="24"/>
        </w:rPr>
      </w:pPr>
      <w:r w:rsidRPr="004C75F1">
        <w:rPr>
          <w:rFonts w:ascii="Calibri" w:hAnsi="Calibri" w:cs="Calibri"/>
          <w:sz w:val="24"/>
          <w:szCs w:val="24"/>
        </w:rPr>
        <w:t>“</w:t>
      </w:r>
      <w:r w:rsidRPr="004C75F1">
        <w:rPr>
          <w:rFonts w:ascii="Calibri" w:hAnsi="Calibri" w:cs="Calibri"/>
          <w:sz w:val="24"/>
          <w:szCs w:val="24"/>
        </w:rPr>
        <w:t>Hırs-ı şöhret, hubb-u câh, makam sahibi olmak, emsaline tefevvuk etmek gibi hisler ve insanlara iyi görünmek, tasannu'kârane haddinden fazla kendine ehemmiyet verdirmek</w:t>
      </w:r>
      <w:r>
        <w:rPr>
          <w:rFonts w:ascii="Calibri" w:hAnsi="Calibri" w:cs="Calibri"/>
          <w:sz w:val="24"/>
          <w:szCs w:val="24"/>
        </w:rPr>
        <w:t xml:space="preserve"> </w:t>
      </w:r>
      <w:r w:rsidRPr="004C75F1">
        <w:rPr>
          <w:rFonts w:ascii="Calibri" w:hAnsi="Calibri" w:cs="Calibri"/>
          <w:sz w:val="24"/>
          <w:szCs w:val="24"/>
        </w:rPr>
        <w:t>ve tekellüfkârane lâyık olmadığı yüksek makamlarda görünmek tarzını takınmak ile riya eder. Risale-i Nur şakirdleri ene'yi nahnü'ye tebdil ettikleri, yani enaniyeti bırakıp, Risale-i Nur dairesinin şahs-ı manevîsinin hesabına çalışması, ben yerine biz demeleri ve ehl-i tarîkatın "fena fi-ş şeyh" ve "fena fi-r resul" ve nefs-i emmareyi öldürmek gibi riyadan kurtaran vasıtaların bu zamanda birisi de "fena fi-l ihvan" yani şahsiyetini kardeşlerinin şahs-ı manevîsi içinde eritip öyle davrandığı için, inşâallah ehl-i hakikatın riyadan kurtulmaları gibi, bu sır ile onlar da kurtulurlar.</w:t>
      </w:r>
      <w:r>
        <w:rPr>
          <w:rFonts w:ascii="Calibri" w:hAnsi="Calibri" w:cs="Calibri"/>
          <w:sz w:val="24"/>
          <w:szCs w:val="24"/>
        </w:rPr>
        <w:t xml:space="preserve">” </w:t>
      </w:r>
      <w:r w:rsidRPr="004C75F1">
        <w:rPr>
          <w:rFonts w:ascii="Calibri" w:hAnsi="Calibri" w:cs="Calibri"/>
          <w:b/>
          <w:bCs/>
          <w:sz w:val="24"/>
          <w:szCs w:val="24"/>
        </w:rPr>
        <w:t>Kastamonu Lahikası (</w:t>
      </w:r>
      <w:r>
        <w:rPr>
          <w:rFonts w:ascii="Calibri" w:hAnsi="Calibri" w:cs="Calibri"/>
          <w:b/>
          <w:bCs/>
          <w:sz w:val="24"/>
          <w:szCs w:val="24"/>
        </w:rPr>
        <w:t>184)</w:t>
      </w:r>
    </w:p>
  </w:footnote>
  <w:footnote w:id="4">
    <w:p w:rsidR="00FE77A4" w:rsidRDefault="00FE77A4" w:rsidP="00FE77A4">
      <w:pPr>
        <w:spacing w:before="120" w:after="0" w:line="240" w:lineRule="auto"/>
        <w:jc w:val="both"/>
      </w:pPr>
      <w:r>
        <w:rPr>
          <w:rStyle w:val="FootnoteReference"/>
        </w:rPr>
        <w:footnoteRef/>
      </w:r>
      <w:r>
        <w:t xml:space="preserve"> </w:t>
      </w:r>
      <w:r w:rsidRPr="00F262A6">
        <w:rPr>
          <w:b/>
          <w:bCs/>
          <w:sz w:val="24"/>
          <w:szCs w:val="24"/>
        </w:rPr>
        <w:t>Ayrıca</w:t>
      </w:r>
      <w:r w:rsidRPr="00F262A6">
        <w:rPr>
          <w:sz w:val="24"/>
          <w:szCs w:val="24"/>
        </w:rPr>
        <w:t xml:space="preserve"> </w:t>
      </w:r>
      <w:r w:rsidRPr="00F262A6">
        <w:rPr>
          <w:i/>
          <w:iCs/>
          <w:sz w:val="24"/>
          <w:szCs w:val="24"/>
        </w:rPr>
        <w:t xml:space="preserve">(Bakınız: </w:t>
      </w:r>
      <w:r w:rsidRPr="00FE77A4">
        <w:rPr>
          <w:rFonts w:ascii="Calibri" w:hAnsi="Calibri" w:cs="Calibri"/>
          <w:i/>
          <w:iCs/>
          <w:sz w:val="24"/>
          <w:szCs w:val="24"/>
          <w:highlight w:val="yellow"/>
        </w:rPr>
        <w:t>Riya, Şöhret ve Teveccüh-ü Nas’ı Terk Etmek Esası</w:t>
      </w:r>
      <w:r w:rsidRPr="00FE77A4">
        <w:rPr>
          <w:rFonts w:ascii="Calibri" w:hAnsi="Calibri" w:cs="Calibri"/>
          <w:i/>
          <w:iCs/>
          <w:sz w:val="24"/>
          <w:szCs w:val="24"/>
        </w:rPr>
        <w:t xml:space="preserve"> Ve </w:t>
      </w:r>
      <w:r w:rsidRPr="00FE77A4">
        <w:rPr>
          <w:rFonts w:ascii="Calibri" w:hAnsi="Calibri" w:cs="Calibri"/>
          <w:i/>
          <w:iCs/>
          <w:sz w:val="24"/>
          <w:szCs w:val="24"/>
          <w:highlight w:val="yellow"/>
        </w:rPr>
        <w:t>Hubb-u Cahı Terk Etmek Esası</w:t>
      </w:r>
      <w:r>
        <w:rPr>
          <w:rFonts w:ascii="Calibri" w:hAnsi="Calibri" w:cs="Calibri"/>
          <w:i/>
          <w:iCs/>
          <w:sz w:val="24"/>
          <w:szCs w:val="24"/>
        </w:rPr>
        <w:t xml:space="preserve"> Derlemeleri)</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AD2CD7"/>
    <w:rsid w:val="0049073C"/>
    <w:rsid w:val="004C75F1"/>
    <w:rsid w:val="00626E41"/>
    <w:rsid w:val="0069323D"/>
    <w:rsid w:val="00AC1751"/>
    <w:rsid w:val="00AD2CD7"/>
    <w:rsid w:val="00F262A6"/>
    <w:rsid w:val="00FD07A6"/>
    <w:rsid w:val="00FE77A4"/>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2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D2C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2CD7"/>
    <w:rPr>
      <w:sz w:val="20"/>
      <w:szCs w:val="20"/>
    </w:rPr>
  </w:style>
  <w:style w:type="character" w:styleId="FootnoteReference">
    <w:name w:val="footnote reference"/>
    <w:basedOn w:val="DefaultParagraphFont"/>
    <w:uiPriority w:val="99"/>
    <w:semiHidden/>
    <w:unhideWhenUsed/>
    <w:rsid w:val="00AD2CD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3DF9E-C54C-489E-9378-21A6AAA01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2</Pages>
  <Words>131</Words>
  <Characters>753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90535</dc:creator>
  <cp:lastModifiedBy>90535</cp:lastModifiedBy>
  <cp:revision>2</cp:revision>
  <dcterms:created xsi:type="dcterms:W3CDTF">2023-11-26T13:25:00Z</dcterms:created>
  <dcterms:modified xsi:type="dcterms:W3CDTF">2023-11-26T17:35:00Z</dcterms:modified>
</cp:coreProperties>
</file>